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506038" w:rsidP="003A647C">
      <w:pPr>
        <w:pStyle w:val="p2"/>
        <w:spacing w:before="0" w:beforeAutospacing="0" w:after="0" w:afterAutospacing="0"/>
        <w:ind w:firstLine="709"/>
        <w:jc w:val="both"/>
        <w:rPr>
          <w:rStyle w:val="s11"/>
          <w:rFonts w:ascii="Arial" w:hAnsi="Arial" w:cs="Arial"/>
          <w:b w:val="0"/>
          <w:color w:val="000000"/>
          <w:sz w:val="24"/>
          <w:szCs w:val="24"/>
        </w:rPr>
      </w:pPr>
      <w:r>
        <w:rPr>
          <w:rStyle w:val="s11"/>
          <w:rFonts w:ascii="Arial" w:hAnsi="Arial" w:cs="Arial"/>
          <w:b w:val="0"/>
          <w:color w:val="000000"/>
          <w:sz w:val="24"/>
          <w:szCs w:val="24"/>
        </w:rPr>
        <w:t>05.08.</w:t>
      </w:r>
      <w:r w:rsidR="00F81ABF" w:rsidRPr="0036407D">
        <w:rPr>
          <w:rStyle w:val="s11"/>
          <w:rFonts w:ascii="Arial" w:hAnsi="Arial" w:cs="Arial"/>
          <w:b w:val="0"/>
          <w:color w:val="000000"/>
          <w:sz w:val="24"/>
          <w:szCs w:val="24"/>
        </w:rPr>
        <w:t>201</w:t>
      </w:r>
      <w:r w:rsidR="0036407D">
        <w:rPr>
          <w:rStyle w:val="s11"/>
          <w:rFonts w:ascii="Arial" w:hAnsi="Arial" w:cs="Arial"/>
          <w:b w:val="0"/>
          <w:color w:val="000000"/>
          <w:sz w:val="24"/>
          <w:szCs w:val="24"/>
        </w:rPr>
        <w:t>9</w:t>
      </w:r>
      <w:r w:rsidR="00F81ABF"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с</w:t>
      </w:r>
      <w:proofErr w:type="gramEnd"/>
      <w:r w:rsidR="00F81ABF"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 xml:space="preserve">Новопокровка                                </w:t>
      </w:r>
      <w:r>
        <w:rPr>
          <w:rStyle w:val="s11"/>
          <w:rFonts w:ascii="Arial" w:hAnsi="Arial" w:cs="Arial"/>
          <w:b w:val="0"/>
          <w:color w:val="000000"/>
          <w:sz w:val="24"/>
          <w:szCs w:val="24"/>
        </w:rPr>
        <w:t>№ 28-П</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F81ABF" w:rsidRPr="0036407D" w:rsidRDefault="003F5188"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О внесении изменений и дополнений в постановление администрации от 31.10.2013 №92-П «</w:t>
      </w:r>
      <w:r w:rsidR="00F81ABF" w:rsidRPr="0036407D">
        <w:rPr>
          <w:rFonts w:ascii="Arial" w:hAnsi="Arial" w:cs="Arial"/>
          <w:color w:val="000000"/>
          <w:sz w:val="24"/>
          <w:szCs w:val="24"/>
        </w:rPr>
        <w:t>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sidR="00653FC8">
        <w:rPr>
          <w:rFonts w:ascii="Arial" w:hAnsi="Arial" w:cs="Arial"/>
          <w:color w:val="000000"/>
          <w:sz w:val="24"/>
          <w:szCs w:val="24"/>
        </w:rPr>
        <w:t xml:space="preserve"> (в редакции Постановления № 63-П от 23.10.2016)</w:t>
      </w:r>
    </w:p>
    <w:p w:rsidR="003F5188" w:rsidRPr="0036407D" w:rsidRDefault="003F518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3A647C">
      <w:pPr>
        <w:pStyle w:val="p5"/>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F81ABF" w:rsidRPr="0036407D" w:rsidRDefault="00F81ABF" w:rsidP="003A647C">
      <w:pPr>
        <w:pStyle w:val="p4"/>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 xml:space="preserve">1. </w:t>
      </w:r>
      <w:r w:rsidR="003F5188" w:rsidRPr="0036407D">
        <w:rPr>
          <w:rFonts w:ascii="Arial" w:hAnsi="Arial" w:cs="Arial"/>
          <w:color w:val="000000"/>
          <w:sz w:val="24"/>
          <w:szCs w:val="24"/>
        </w:rPr>
        <w:t>Внести следующие изменения и дополнения в постановление администрации от 31.10.2013 №92-П «Об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sidR="00653FC8" w:rsidRPr="00653FC8">
        <w:rPr>
          <w:rFonts w:ascii="Arial" w:hAnsi="Arial" w:cs="Arial"/>
          <w:color w:val="000000"/>
          <w:sz w:val="24"/>
          <w:szCs w:val="24"/>
        </w:rPr>
        <w:t xml:space="preserve"> </w:t>
      </w:r>
      <w:r w:rsidR="00653FC8">
        <w:rPr>
          <w:rFonts w:ascii="Arial" w:hAnsi="Arial" w:cs="Arial"/>
          <w:color w:val="000000"/>
          <w:sz w:val="24"/>
          <w:szCs w:val="24"/>
        </w:rPr>
        <w:t>(в редакции Постановления № 63-П от 23.10.2016):</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1.1 П. 2</w:t>
      </w:r>
      <w:r w:rsidR="003A647C">
        <w:rPr>
          <w:rFonts w:ascii="Arial" w:hAnsi="Arial" w:cs="Arial"/>
          <w:b w:val="0"/>
          <w:sz w:val="24"/>
          <w:szCs w:val="24"/>
        </w:rPr>
        <w:t>.9</w:t>
      </w:r>
      <w:r w:rsidRPr="0036407D">
        <w:rPr>
          <w:rFonts w:ascii="Arial" w:hAnsi="Arial" w:cs="Arial"/>
          <w:b w:val="0"/>
          <w:sz w:val="24"/>
          <w:szCs w:val="24"/>
        </w:rPr>
        <w:t xml:space="preserve"> раздела 2 Регламента изложить в новой редакции: </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sidR="003A647C">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B00823" w:rsidRPr="0036407D" w:rsidRDefault="00B00823"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6407D" w:rsidRPr="0036407D" w:rsidRDefault="0036407D" w:rsidP="003A647C">
      <w:pPr>
        <w:pStyle w:val="ConsPlusNormal"/>
        <w:ind w:firstLine="709"/>
        <w:jc w:val="both"/>
        <w:rPr>
          <w:sz w:val="24"/>
          <w:szCs w:val="24"/>
        </w:rPr>
      </w:pPr>
      <w:r w:rsidRPr="0036407D">
        <w:rPr>
          <w:sz w:val="24"/>
          <w:szCs w:val="24"/>
        </w:rPr>
        <w:t>1.2. П.5.8 раздела 5 Регламента дополнить подпунктами следующего содержания:</w:t>
      </w:r>
    </w:p>
    <w:p w:rsidR="0036407D" w:rsidRPr="0036407D" w:rsidRDefault="0036407D"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3180" w:rsidRPr="0036407D" w:rsidRDefault="0036407D" w:rsidP="003A647C">
      <w:pPr>
        <w:ind w:firstLine="709"/>
        <w:jc w:val="both"/>
        <w:rPr>
          <w:rFonts w:ascii="Arial" w:hAnsi="Arial" w:cs="Arial"/>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6407D" w:rsidRPr="0036407D" w:rsidRDefault="0036407D" w:rsidP="003A647C">
      <w:pPr>
        <w:pStyle w:val="ConsPlusNormal"/>
        <w:ind w:firstLine="709"/>
        <w:jc w:val="both"/>
        <w:rPr>
          <w:sz w:val="24"/>
          <w:szCs w:val="24"/>
        </w:rPr>
      </w:pPr>
      <w:r w:rsidRPr="0036407D">
        <w:rPr>
          <w:sz w:val="24"/>
          <w:szCs w:val="24"/>
        </w:rPr>
        <w:t xml:space="preserve">2. </w:t>
      </w:r>
      <w:proofErr w:type="gramStart"/>
      <w:r w:rsidRPr="0036407D">
        <w:rPr>
          <w:sz w:val="24"/>
          <w:szCs w:val="24"/>
        </w:rPr>
        <w:t>Контроль за</w:t>
      </w:r>
      <w:proofErr w:type="gramEnd"/>
      <w:r w:rsidRPr="0036407D">
        <w:rPr>
          <w:sz w:val="24"/>
          <w:szCs w:val="24"/>
        </w:rPr>
        <w:t xml:space="preserve"> исполнением Постановления оставляю за собой.</w:t>
      </w:r>
    </w:p>
    <w:p w:rsidR="0036407D" w:rsidRPr="0036407D" w:rsidRDefault="0036407D" w:rsidP="003A647C">
      <w:pPr>
        <w:pStyle w:val="ConsPlusNormal"/>
        <w:ind w:firstLine="709"/>
        <w:jc w:val="both"/>
        <w:rPr>
          <w:sz w:val="24"/>
          <w:szCs w:val="24"/>
        </w:rPr>
      </w:pPr>
      <w:r w:rsidRPr="0036407D">
        <w:rPr>
          <w:sz w:val="24"/>
          <w:szCs w:val="24"/>
        </w:rPr>
        <w:t>3.Постановление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F81ABF" w:rsidRPr="0036407D"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3A647C" w:rsidRDefault="00F81ABF" w:rsidP="003A647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lastRenderedPageBreak/>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w:t>
      </w:r>
      <w:r w:rsidR="00506038">
        <w:rPr>
          <w:rFonts w:ascii="Arial" w:hAnsi="Arial" w:cs="Arial"/>
          <w:color w:val="000000"/>
          <w:sz w:val="24"/>
          <w:szCs w:val="24"/>
        </w:rPr>
        <w:t>ю</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Pr="0036407D"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05.08.2019</w:t>
      </w:r>
      <w:r w:rsidR="0036407D">
        <w:rPr>
          <w:rFonts w:ascii="Arial" w:hAnsi="Arial" w:cs="Arial"/>
          <w:color w:val="000000"/>
          <w:sz w:val="24"/>
          <w:szCs w:val="24"/>
        </w:rPr>
        <w:t xml:space="preserve"> №</w:t>
      </w:r>
      <w:r>
        <w:rPr>
          <w:rFonts w:ascii="Arial" w:hAnsi="Arial" w:cs="Arial"/>
          <w:color w:val="000000"/>
          <w:sz w:val="24"/>
          <w:szCs w:val="24"/>
        </w:rPr>
        <w:t xml:space="preserve"> 28-П</w:t>
      </w:r>
    </w:p>
    <w:p w:rsidR="00F81ABF" w:rsidRPr="0036407D" w:rsidRDefault="00F81ABF"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lastRenderedPageBreak/>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653FC8" w:rsidRPr="00CA5E4F" w:rsidRDefault="00653FC8" w:rsidP="003A647C">
      <w:pPr>
        <w:ind w:firstLine="709"/>
        <w:jc w:val="both"/>
        <w:rPr>
          <w:rFonts w:ascii="Arial" w:hAnsi="Arial" w:cs="Arial"/>
          <w:color w:val="000000"/>
          <w:sz w:val="20"/>
          <w:szCs w:val="20"/>
        </w:rPr>
      </w:pPr>
      <w:bookmarkStart w:id="2" w:name="Par34"/>
      <w:bookmarkEnd w:id="2"/>
      <w:r w:rsidRPr="00CA5E4F">
        <w:rPr>
          <w:rFonts w:ascii="Arial" w:hAnsi="Arial" w:cs="Arial"/>
          <w:color w:val="000000"/>
        </w:rPr>
        <w:t>7)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CA5E4F">
          <w:rPr>
            <w:rFonts w:ascii="Arial" w:hAnsi="Arial" w:cs="Arial"/>
            <w:u w:val="single"/>
          </w:rPr>
          <w:t>подпунктах 4</w:t>
        </w:r>
      </w:hyperlink>
      <w:r w:rsidRPr="00CA5E4F">
        <w:rPr>
          <w:rFonts w:ascii="Arial" w:hAnsi="Arial" w:cs="Arial"/>
          <w:color w:val="000000"/>
        </w:rPr>
        <w:t>, </w:t>
      </w:r>
      <w:hyperlink r:id="rId6" w:anchor="Par34" w:history="1">
        <w:r w:rsidRPr="00CA5E4F">
          <w:rPr>
            <w:rFonts w:ascii="Arial" w:hAnsi="Arial" w:cs="Arial"/>
            <w:u w:val="single"/>
          </w:rPr>
          <w:t>7</w:t>
        </w:r>
      </w:hyperlink>
      <w:r w:rsidRPr="00CA5E4F">
        <w:rPr>
          <w:rFonts w:ascii="Arial" w:hAnsi="Arial" w:cs="Arial"/>
          <w:color w:val="000000"/>
        </w:rPr>
        <w:t xml:space="preserve"> настоящего пункта, запрашиваются администрацией </w:t>
      </w:r>
      <w:proofErr w:type="gramStart"/>
      <w:r w:rsidRPr="00CA5E4F">
        <w:rPr>
          <w:rFonts w:ascii="Arial" w:hAnsi="Arial" w:cs="Arial"/>
          <w:color w:val="000000"/>
        </w:rPr>
        <w:t>г</w:t>
      </w:r>
      <w:proofErr w:type="gramEnd"/>
      <w:r w:rsidRPr="00CA5E4F">
        <w:rPr>
          <w:rFonts w:ascii="Arial" w:hAnsi="Arial" w:cs="Arial"/>
          <w:color w:val="000000"/>
        </w:rPr>
        <w:t>. Канска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предоставил указанные документы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w:t>
      </w:r>
      <w:r w:rsidRPr="0036407D">
        <w:rPr>
          <w:rFonts w:ascii="Arial" w:hAnsi="Arial" w:cs="Arial"/>
          <w:color w:val="000000"/>
        </w:rPr>
        <w:lastRenderedPageBreak/>
        <w:t>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lastRenderedPageBreak/>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6407D">
        <w:rPr>
          <w:rFonts w:ascii="Arial" w:hAnsi="Arial" w:cs="Arial"/>
          <w:color w:val="000000"/>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lastRenderedPageBreak/>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lastRenderedPageBreak/>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875B9F"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875B9F" w:rsidRPr="007472D1">
        <w:rPr>
          <w:rFonts w:ascii="Arial" w:hAnsi="Arial" w:cs="Arial"/>
          <w:color w:val="000000"/>
        </w:rPr>
        <w:fldChar w:fldCharType="separate"/>
      </w:r>
      <w:r w:rsidRPr="007472D1">
        <w:rPr>
          <w:rStyle w:val="a3"/>
          <w:rFonts w:ascii="Arial" w:hAnsi="Arial" w:cs="Arial"/>
        </w:rPr>
        <w:t>2</w:t>
      </w:r>
      <w:r w:rsidR="00875B9F"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E1CE4"/>
    <w:rsid w:val="00247560"/>
    <w:rsid w:val="002B7CBC"/>
    <w:rsid w:val="0036407D"/>
    <w:rsid w:val="003A647C"/>
    <w:rsid w:val="003B2048"/>
    <w:rsid w:val="003F5188"/>
    <w:rsid w:val="004B7A07"/>
    <w:rsid w:val="005018A0"/>
    <w:rsid w:val="00506038"/>
    <w:rsid w:val="00653FC8"/>
    <w:rsid w:val="007472D1"/>
    <w:rsid w:val="00793180"/>
    <w:rsid w:val="00875B9F"/>
    <w:rsid w:val="00B00823"/>
    <w:rsid w:val="00BD7473"/>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cp:lastPrinted>2019-08-05T08:01:00Z</cp:lastPrinted>
  <dcterms:created xsi:type="dcterms:W3CDTF">2019-06-24T02:40:00Z</dcterms:created>
  <dcterms:modified xsi:type="dcterms:W3CDTF">2019-08-05T08:01:00Z</dcterms:modified>
</cp:coreProperties>
</file>